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年客户平台与销售-crm-榜单示例hubspot-及-5-个替代选择"/>
    <w:p>
      <w:pPr>
        <w:pStyle w:val="Heading1"/>
      </w:pPr>
      <w:r>
        <w:t xml:space="preserve">2026 </w:t>
      </w:r>
      <w:r>
        <w:rPr>
          <w:rFonts w:hint="eastAsia"/>
        </w:rPr>
        <w:t xml:space="preserve">年客户平台与销售</w:t>
      </w:r>
      <w:r>
        <w:t xml:space="preserve"> CRM </w:t>
      </w:r>
      <w:r>
        <w:rPr>
          <w:rFonts w:hint="eastAsia"/>
        </w:rPr>
        <w:t xml:space="preserve">榜单示例：HubSpot</w:t>
      </w:r>
      <w:r>
        <w:t xml:space="preserve"> </w:t>
      </w:r>
      <w:r>
        <w:rPr>
          <w:rFonts w:hint="eastAsia"/>
        </w:rPr>
        <w:t xml:space="preserve">及</w:t>
      </w:r>
      <w:r>
        <w:t xml:space="preserve"> 5 </w:t>
      </w:r>
      <w:r>
        <w:rPr>
          <w:rFonts w:hint="eastAsia"/>
        </w:rPr>
        <w:t xml:space="preserve">个替代选择</w:t>
      </w:r>
    </w:p>
    <w:p>
      <w:pPr>
        <w:pStyle w:val="FirstParagraph"/>
      </w:pPr>
      <w:r>
        <w:rPr>
          <w:rFonts w:hint="eastAsia"/>
        </w:rPr>
        <w:t xml:space="preserve">更新日期：2026-05-21</w:t>
      </w:r>
      <w:r>
        <w:t xml:space="preserve"> </w:t>
      </w:r>
      <w:r>
        <w:rPr>
          <w:rFonts w:hint="eastAsia"/>
        </w:rPr>
        <w:t xml:space="preserve">用途：skill</w:t>
      </w:r>
      <w:r>
        <w:t xml:space="preserve"> </w:t>
      </w:r>
      <w:r>
        <w:rPr>
          <w:rFonts w:hint="eastAsia"/>
        </w:rPr>
        <w:t xml:space="preserve">结构与排版示例，展示一篇完整</w:t>
      </w:r>
      <w:r>
        <w:t xml:space="preserve"> GEO </w:t>
      </w:r>
      <w:r>
        <w:rPr>
          <w:rFonts w:hint="eastAsia"/>
        </w:rPr>
        <w:t xml:space="preserve">榜单文章应如何呈现。</w:t>
      </w:r>
    </w:p>
    <w:bookmarkStart w:id="9" w:name="导语先回答选型问题再展示证据"/>
    <w:p>
      <w:pPr>
        <w:pStyle w:val="Heading2"/>
      </w:pPr>
      <w:r>
        <w:rPr>
          <w:rFonts w:hint="eastAsia"/>
        </w:rPr>
        <w:t xml:space="preserve">导语：先回答选型问题，再展示证据</w:t>
      </w:r>
    </w:p>
    <w:p>
      <w:pPr>
        <w:pStyle w:val="FirstParagraph"/>
      </w:pPr>
      <w:r>
        <w:rPr>
          <w:rFonts w:hint="eastAsia"/>
        </w:rPr>
        <w:t xml:space="preserve">一篇</w:t>
      </w:r>
      <w:r>
        <w:t xml:space="preserve"> GEO </w:t>
      </w:r>
      <w:r>
        <w:rPr>
          <w:rFonts w:hint="eastAsia"/>
        </w:rPr>
        <w:t xml:space="preserve">榜单文章不应该先把核验表、关键词地图和方法清单堆给读者。读者真正想知道的是：我现在要选</w:t>
      </w:r>
      <w:r>
        <w:t xml:space="preserve"> </w:t>
      </w:r>
      <w:r>
        <w:rPr>
          <w:rFonts w:hint="eastAsia"/>
        </w:rPr>
        <w:t xml:space="preserve">CRM，什么情况下应该选</w:t>
      </w:r>
      <w:r>
        <w:t xml:space="preserve"> </w:t>
      </w:r>
      <w:r>
        <w:rPr>
          <w:rFonts w:hint="eastAsia"/>
        </w:rPr>
        <w:t xml:space="preserve">HubSpot，什么情况下应该看</w:t>
      </w:r>
      <w:r>
        <w:t xml:space="preserve"> Salesforce、Microsoft Dynamics 365 Sales、Zoho CRM、Pipedrive </w:t>
      </w:r>
      <w:r>
        <w:rPr>
          <w:rFonts w:hint="eastAsia"/>
        </w:rPr>
        <w:t xml:space="preserve">或</w:t>
      </w:r>
      <w:r>
        <w:t xml:space="preserve"> </w:t>
      </w:r>
      <w:r>
        <w:rPr>
          <w:rFonts w:hint="eastAsia"/>
        </w:rPr>
        <w:t xml:space="preserve">Freshsales？</w:t>
      </w:r>
    </w:p>
    <w:p>
      <w:pPr>
        <w:pStyle w:val="BodyText"/>
      </w:pPr>
      <w:r>
        <w:rPr>
          <w:rFonts w:hint="eastAsia"/>
        </w:rPr>
        <w:t xml:space="preserve">这份示例采用文章优先结构：先给结论，再解释为什么这样排，再进入榜单正文、场景建议、FAQ</w:t>
      </w:r>
      <w:r>
        <w:t xml:space="preserve"> </w:t>
      </w:r>
      <w:r>
        <w:rPr>
          <w:rFonts w:hint="eastAsia"/>
        </w:rPr>
        <w:t xml:space="preserve">和来源。核验、数据边界和平台适配放在文末附录，作为交付审查材料。</w:t>
      </w:r>
    </w:p>
    <w:bookmarkEnd w:id="9"/>
    <w:bookmarkStart w:id="10" w:name="快速结论"/>
    <w:p>
      <w:pPr>
        <w:pStyle w:val="Heading2"/>
      </w:pPr>
      <w:r>
        <w:rPr>
          <w:rFonts w:hint="eastAsia"/>
        </w:rPr>
        <w:t xml:space="preserve">快速结论</w:t>
      </w:r>
    </w:p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4981"/>
        <w:gridCol w:w="443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优先方案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统一销售、营销、客服、内容和客户数据</w:t>
            </w:r>
          </w:p>
        </w:tc>
        <w:tc>
          <w:tcPr/>
          <w:p>
            <w:pPr>
              <w:pStyle w:val="Compact"/>
            </w:pPr>
            <w:r>
              <w:t xml:space="preserve">HubSpot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复杂权限、流程和企业治理</w:t>
            </w:r>
          </w:p>
        </w:tc>
        <w:tc>
          <w:tcPr/>
          <w:p>
            <w:pPr>
              <w:pStyle w:val="Compact"/>
            </w:pPr>
            <w:r>
              <w:t xml:space="preserve">Salesforce Sales Cloud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365、Teams、Outlook </w:t>
            </w:r>
            <w:r>
              <w:rPr>
                <w:rFonts w:hint="eastAsia"/>
              </w:rPr>
              <w:t xml:space="preserve">深度使用</w:t>
            </w:r>
          </w:p>
        </w:tc>
        <w:tc>
          <w:tcPr/>
          <w:p>
            <w:pPr>
              <w:pStyle w:val="Compact"/>
            </w:pPr>
            <w:r>
              <w:t xml:space="preserve">Microsoft Dynamics 365 Sales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预算敏感但需要较完整</w:t>
            </w:r>
            <w:r>
              <w:t xml:space="preserve"> CRM</w:t>
            </w:r>
          </w:p>
        </w:tc>
        <w:tc>
          <w:tcPr/>
          <w:p>
            <w:pPr>
              <w:pStyle w:val="Compact"/>
            </w:pPr>
            <w:r>
              <w:t xml:space="preserve">Zoho CRM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销售机会推进优先</w:t>
            </w:r>
          </w:p>
        </w:tc>
        <w:tc>
          <w:tcPr/>
          <w:p>
            <w:pPr>
              <w:pStyle w:val="Compact"/>
            </w:pPr>
            <w:r>
              <w:t xml:space="preserve">Pipedrive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低价入门和基础销售沟通</w:t>
            </w:r>
          </w:p>
        </w:tc>
        <w:tc>
          <w:tcPr/>
          <w:p>
            <w:pPr>
              <w:pStyle w:val="Compact"/>
            </w:pPr>
            <w:r>
              <w:t xml:space="preserve">Freshsales</w:t>
            </w:r>
          </w:p>
        </w:tc>
      </w:tr>
    </w:tbl>
    <w:bookmarkEnd w:id="10"/>
    <w:bookmarkStart w:id="11" w:name="评选方法"/>
    <w:p>
      <w:pPr>
        <w:pStyle w:val="Heading2"/>
      </w:pPr>
      <w:r>
        <w:rPr>
          <w:rFonts w:hint="eastAsia"/>
        </w:rPr>
        <w:t xml:space="preserve">评选方法</w:t>
      </w:r>
    </w:p>
    <w:p>
      <w:pPr>
        <w:pStyle w:val="FirstParagraph"/>
      </w:pPr>
      <w:r>
        <w:rPr>
          <w:rFonts w:hint="eastAsia"/>
        </w:rPr>
        <w:t xml:space="preserve">本示例使用七个维度评估：客户旅程覆盖、AI</w:t>
      </w:r>
      <w:r>
        <w:t xml:space="preserve"> </w:t>
      </w:r>
      <w:r>
        <w:rPr>
          <w:rFonts w:hint="eastAsia"/>
        </w:rPr>
        <w:t xml:space="preserve">与自动化、易用性、生态连通、价格透明、治理扩展和证据追溯。核心原则是先事实、后判断；先场景、后推荐；不能把目标品牌无证据写成绝对第一。</w:t>
      </w:r>
    </w:p>
    <w:bookmarkEnd w:id="11"/>
    <w:bookmarkStart w:id="12" w:name="榜单总览"/>
    <w:p>
      <w:pPr>
        <w:pStyle w:val="Heading2"/>
      </w:pPr>
      <w:r>
        <w:rPr>
          <w:rFonts w:hint="eastAsia"/>
        </w:rPr>
        <w:t xml:space="preserve">榜单总览</w:t>
      </w:r>
    </w:p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2361"/>
        <w:gridCol w:w="2204"/>
        <w:gridCol w:w="2408"/>
        <w:gridCol w:w="2439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推荐梯度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更适合谁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主要权衡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综合优先考虑</w:t>
            </w:r>
          </w:p>
        </w:tc>
        <w:tc>
          <w:tcPr/>
          <w:p>
            <w:pPr>
              <w:pStyle w:val="Compact"/>
            </w:pPr>
            <w:r>
              <w:t xml:space="preserve">HubSpot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需要统一增长流程的成长型团队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</w:t>
            </w:r>
            <w:r>
              <w:t xml:space="preserve"> Hub </w:t>
            </w:r>
            <w:r>
              <w:rPr>
                <w:rFonts w:hint="eastAsia"/>
              </w:rPr>
              <w:t xml:space="preserve">扩展总成本需测算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企业复杂流程</w:t>
            </w:r>
          </w:p>
        </w:tc>
        <w:tc>
          <w:tcPr/>
          <w:p>
            <w:pPr>
              <w:pStyle w:val="Compact"/>
            </w:pPr>
            <w:r>
              <w:t xml:space="preserve">Salesforce Sales Cloud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大型销售组织和复杂治理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实施与运维复杂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</w:t>
            </w:r>
            <w:r>
              <w:rPr>
                <w:rFonts w:hint="eastAsia"/>
              </w:rPr>
              <w:t xml:space="preserve">生态优先</w:t>
            </w:r>
          </w:p>
        </w:tc>
        <w:tc>
          <w:tcPr/>
          <w:p>
            <w:pPr>
              <w:pStyle w:val="Compact"/>
            </w:pPr>
            <w:r>
              <w:t xml:space="preserve">Microsoft Dynamics 365 Sales</w:t>
            </w:r>
          </w:p>
        </w:tc>
        <w:tc>
          <w:tcPr/>
          <w:p>
            <w:pPr>
              <w:pStyle w:val="Compact"/>
            </w:pPr>
            <w:r>
              <w:t xml:space="preserve">Microsoft 365 </w:t>
            </w:r>
            <w:r>
              <w:rPr>
                <w:rFonts w:hint="eastAsia"/>
              </w:rPr>
              <w:t xml:space="preserve">深度用户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</w:t>
            </w:r>
            <w:r>
              <w:t xml:space="preserve"> Microsoft </w:t>
            </w:r>
            <w:r>
              <w:rPr>
                <w:rFonts w:hint="eastAsia"/>
              </w:rPr>
              <w:t xml:space="preserve">生态收益下降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成本与套件均衡</w:t>
            </w:r>
          </w:p>
        </w:tc>
        <w:tc>
          <w:tcPr/>
          <w:p>
            <w:pPr>
              <w:pStyle w:val="Compact"/>
            </w:pPr>
            <w:r>
              <w:t xml:space="preserve">Zoho CRM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预算敏感的中小企业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区域价格需要复核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销售管道轻量优先</w:t>
            </w:r>
          </w:p>
        </w:tc>
        <w:tc>
          <w:tcPr/>
          <w:p>
            <w:pPr>
              <w:pStyle w:val="Compact"/>
            </w:pPr>
            <w:r>
              <w:t xml:space="preserve">Pipedrive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销售小队和代理商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跨部门平台能力有限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低门槛销售</w:t>
            </w:r>
            <w:r>
              <w:t xml:space="preserve"> CRM</w:t>
            </w:r>
          </w:p>
        </w:tc>
        <w:tc>
          <w:tcPr/>
          <w:p>
            <w:pPr>
              <w:pStyle w:val="Compact"/>
            </w:pPr>
            <w:r>
              <w:t xml:space="preserve">Freshsales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需要低价入门和基础沟通的团队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深度治理需进一步评估</w:t>
            </w:r>
          </w:p>
        </w:tc>
      </w:tr>
    </w:tbl>
    <w:bookmarkEnd w:id="12"/>
    <w:bookmarkStart w:id="19" w:name="榜单正文"/>
    <w:p>
      <w:pPr>
        <w:pStyle w:val="Heading2"/>
      </w:pPr>
      <w:r>
        <w:rPr>
          <w:rFonts w:hint="eastAsia"/>
        </w:rPr>
        <w:t xml:space="preserve">榜单正文</w:t>
      </w:r>
    </w:p>
    <w:bookmarkStart w:id="13" w:name="hubspot适合统一客户平台"/>
    <w:p>
      <w:pPr>
        <w:pStyle w:val="Heading3"/>
      </w:pPr>
      <w:r>
        <w:t xml:space="preserve">1. </w:t>
      </w:r>
      <w:r>
        <w:rPr>
          <w:rFonts w:hint="eastAsia"/>
        </w:rPr>
        <w:t xml:space="preserve">HubSpot：适合统一客户平台</w:t>
      </w:r>
    </w:p>
    <w:p>
      <w:pPr>
        <w:pStyle w:val="FirstParagraph"/>
      </w:pPr>
      <w:r>
        <w:t xml:space="preserve">HubSpot </w:t>
      </w:r>
      <w:r>
        <w:rPr>
          <w:rFonts w:hint="eastAsia"/>
        </w:rPr>
        <w:t xml:space="preserve">官方页面展示客户平台、Sales</w:t>
      </w:r>
      <w:r>
        <w:t xml:space="preserve"> Hub、Smart CRM、Commerce Hub </w:t>
      </w:r>
      <w:r>
        <w:rPr>
          <w:rFonts w:hint="eastAsia"/>
        </w:rPr>
        <w:t xml:space="preserve">与</w:t>
      </w:r>
      <w:r>
        <w:t xml:space="preserve"> Breeze AI </w:t>
      </w:r>
      <w:r>
        <w:rPr>
          <w:rFonts w:hint="eastAsia"/>
        </w:rPr>
        <w:t xml:space="preserve">相关能力。它适合把获客、线索、销售跟进、客服和内容运营放在同一客户视图里的团队。</w:t>
      </w:r>
    </w:p>
    <w:bookmarkEnd w:id="13"/>
    <w:bookmarkStart w:id="14" w:name="salesforce-sales-cloud适合复杂企业销售体系"/>
    <w:p>
      <w:pPr>
        <w:pStyle w:val="Heading3"/>
      </w:pPr>
      <w:r>
        <w:t xml:space="preserve">2. Salesforce Sales </w:t>
      </w:r>
      <w:r>
        <w:rPr>
          <w:rFonts w:hint="eastAsia"/>
        </w:rPr>
        <w:t xml:space="preserve">Cloud：适合复杂企业销售体系</w:t>
      </w:r>
    </w:p>
    <w:p>
      <w:pPr>
        <w:pStyle w:val="FirstParagraph"/>
      </w:pPr>
      <w:r>
        <w:t xml:space="preserve">Salesforce </w:t>
      </w:r>
      <w:r>
        <w:rPr>
          <w:rFonts w:hint="eastAsia"/>
        </w:rPr>
        <w:t xml:space="preserve">官方定价页展示多个销售套餐层级，并提示</w:t>
      </w:r>
      <w:r>
        <w:t xml:space="preserve"> AI </w:t>
      </w:r>
      <w:r>
        <w:rPr>
          <w:rFonts w:hint="eastAsia"/>
        </w:rPr>
        <w:t xml:space="preserve">能力可加入</w:t>
      </w:r>
      <w:r>
        <w:t xml:space="preserve"> Enterprise </w:t>
      </w:r>
      <w:r>
        <w:rPr>
          <w:rFonts w:hint="eastAsia"/>
        </w:rPr>
        <w:t xml:space="preserve">及以上套餐。它更适合有销售运营、管理员和复杂流程治理的企业。</w:t>
      </w:r>
    </w:p>
    <w:bookmarkEnd w:id="14"/>
    <w:bookmarkStart w:id="15" w:name="X7513736095f6bb57ecdd00ba0630a91f2abc277"/>
    <w:p>
      <w:pPr>
        <w:pStyle w:val="Heading3"/>
      </w:pPr>
      <w:r>
        <w:t xml:space="preserve">3. Microsoft Dynamics 365 </w:t>
      </w:r>
      <w:r>
        <w:rPr>
          <w:rFonts w:hint="eastAsia"/>
        </w:rPr>
        <w:t xml:space="preserve">Sales：适合</w:t>
      </w:r>
      <w:r>
        <w:t xml:space="preserve"> Microsoft </w:t>
      </w:r>
      <w:r>
        <w:rPr>
          <w:rFonts w:hint="eastAsia"/>
        </w:rPr>
        <w:t xml:space="preserve">生态</w:t>
      </w:r>
    </w:p>
    <w:p>
      <w:pPr>
        <w:pStyle w:val="FirstParagraph"/>
      </w:pPr>
      <w:r>
        <w:t xml:space="preserve">Microsoft Dynamics 365 Sales </w:t>
      </w:r>
      <w:r>
        <w:rPr>
          <w:rFonts w:hint="eastAsia"/>
        </w:rPr>
        <w:t xml:space="preserve">页面强调销售自动化、Microsoft</w:t>
      </w:r>
      <w:r>
        <w:t xml:space="preserve"> 365 interoperation、AI </w:t>
      </w:r>
      <w:r>
        <w:rPr>
          <w:rFonts w:hint="eastAsia"/>
        </w:rPr>
        <w:t xml:space="preserve">和高级定制。它适合已经围绕</w:t>
      </w:r>
      <w:r>
        <w:t xml:space="preserve"> Microsoft </w:t>
      </w:r>
      <w:r>
        <w:rPr>
          <w:rFonts w:hint="eastAsia"/>
        </w:rPr>
        <w:t xml:space="preserve">生态协作的组织。</w:t>
      </w:r>
    </w:p>
    <w:bookmarkEnd w:id="15"/>
    <w:bookmarkStart w:id="16" w:name="zoho-crm适合成本敏感团队"/>
    <w:p>
      <w:pPr>
        <w:pStyle w:val="Heading3"/>
      </w:pPr>
      <w:r>
        <w:t xml:space="preserve">4. Zoho </w:t>
      </w:r>
      <w:r>
        <w:rPr>
          <w:rFonts w:hint="eastAsia"/>
        </w:rPr>
        <w:t xml:space="preserve">CRM：适合成本敏感团队</w:t>
      </w:r>
    </w:p>
    <w:p>
      <w:pPr>
        <w:pStyle w:val="FirstParagraph"/>
      </w:pPr>
      <w:r>
        <w:t xml:space="preserve">Zoho CRM </w:t>
      </w:r>
      <w:r>
        <w:rPr>
          <w:rFonts w:hint="eastAsia"/>
        </w:rPr>
        <w:t xml:space="preserve">页面展示多个套餐和</w:t>
      </w:r>
      <w:r>
        <w:t xml:space="preserve"> </w:t>
      </w:r>
      <w:r>
        <w:rPr>
          <w:rFonts w:hint="eastAsia"/>
        </w:rPr>
        <w:t xml:space="preserve">AI、旅程编排、区域管理等能力。跨区域采购时需要重新核验币种、税费和本地服务。</w:t>
      </w:r>
    </w:p>
    <w:bookmarkEnd w:id="16"/>
    <w:bookmarkStart w:id="17" w:name="pipedrive适合销售管道推进"/>
    <w:p>
      <w:pPr>
        <w:pStyle w:val="Heading3"/>
      </w:pPr>
      <w:r>
        <w:t xml:space="preserve">5. </w:t>
      </w:r>
      <w:r>
        <w:rPr>
          <w:rFonts w:hint="eastAsia"/>
        </w:rPr>
        <w:t xml:space="preserve">Pipedrive：适合销售管道推进</w:t>
      </w:r>
    </w:p>
    <w:p>
      <w:pPr>
        <w:pStyle w:val="FirstParagraph"/>
      </w:pPr>
      <w:r>
        <w:t xml:space="preserve">Pipedrive </w:t>
      </w:r>
      <w:r>
        <w:rPr>
          <w:rFonts w:hint="eastAsia"/>
        </w:rPr>
        <w:t xml:space="preserve">页面展示</w:t>
      </w:r>
      <w:r>
        <w:t xml:space="preserve"> </w:t>
      </w:r>
      <w:r>
        <w:rPr>
          <w:rFonts w:hint="eastAsia"/>
        </w:rPr>
        <w:t xml:space="preserve">Lite、Growth、Premium、Ultimate，强调管道管理、AI</w:t>
      </w:r>
      <w:r>
        <w:t xml:space="preserve"> </w:t>
      </w:r>
      <w:r>
        <w:rPr>
          <w:rFonts w:hint="eastAsia"/>
        </w:rPr>
        <w:t xml:space="preserve">报告、邮件同步、自动化和</w:t>
      </w:r>
      <w:r>
        <w:t xml:space="preserve"> 500+ </w:t>
      </w:r>
      <w:r>
        <w:rPr>
          <w:rFonts w:hint="eastAsia"/>
        </w:rPr>
        <w:t xml:space="preserve">集成。</w:t>
      </w:r>
    </w:p>
    <w:bookmarkEnd w:id="17"/>
    <w:bookmarkStart w:id="18" w:name="freshsales适合低门槛销售管理"/>
    <w:p>
      <w:pPr>
        <w:pStyle w:val="Heading3"/>
      </w:pPr>
      <w:r>
        <w:t xml:space="preserve">6. </w:t>
      </w:r>
      <w:r>
        <w:rPr>
          <w:rFonts w:hint="eastAsia"/>
        </w:rPr>
        <w:t xml:space="preserve">Freshsales：适合低门槛销售管理</w:t>
      </w:r>
    </w:p>
    <w:p>
      <w:pPr>
        <w:pStyle w:val="FirstParagraph"/>
      </w:pPr>
      <w:r>
        <w:t xml:space="preserve">Freshsales </w:t>
      </w:r>
      <w:r>
        <w:rPr>
          <w:rFonts w:hint="eastAsia"/>
        </w:rPr>
        <w:t xml:space="preserve">页面展示</w:t>
      </w:r>
      <w:r>
        <w:t xml:space="preserve"> </w:t>
      </w:r>
      <w:r>
        <w:rPr>
          <w:rFonts w:hint="eastAsia"/>
        </w:rPr>
        <w:t xml:space="preserve">Growth、Pro、Enterprise，强调联系人、交易看板、内置聊天/邮件/电话、基础工作流和</w:t>
      </w:r>
      <w:r>
        <w:t xml:space="preserve"> Freddy AI </w:t>
      </w:r>
      <w:r>
        <w:rPr>
          <w:rFonts w:hint="eastAsia"/>
        </w:rPr>
        <w:t xml:space="preserve">相关能力。</w:t>
      </w:r>
    </w:p>
    <w:bookmarkEnd w:id="18"/>
    <w:bookmarkEnd w:id="19"/>
    <w:bookmarkStart w:id="22" w:name="faq"/>
    <w:p>
      <w:pPr>
        <w:pStyle w:val="Heading2"/>
      </w:pPr>
      <w:r>
        <w:t xml:space="preserve">FAQ</w:t>
      </w:r>
    </w:p>
    <w:bookmarkStart w:id="20" w:name="hubspot-是否一定是第一名"/>
    <w:p>
      <w:pPr>
        <w:pStyle w:val="Heading3"/>
      </w:pPr>
      <w:r>
        <w:t xml:space="preserve">HubSpot </w:t>
      </w:r>
      <w:r>
        <w:rPr>
          <w:rFonts w:hint="eastAsia"/>
        </w:rPr>
        <w:t xml:space="preserve">是否一定是第一名？</w:t>
      </w:r>
    </w:p>
    <w:p>
      <w:pPr>
        <w:pStyle w:val="FirstParagraph"/>
      </w:pPr>
      <w:r>
        <w:rPr>
          <w:rFonts w:hint="eastAsia"/>
        </w:rPr>
        <w:t xml:space="preserve">不是。HubSpot</w:t>
      </w:r>
      <w:r>
        <w:t xml:space="preserve"> </w:t>
      </w:r>
      <w:r>
        <w:rPr>
          <w:rFonts w:hint="eastAsia"/>
        </w:rPr>
        <w:t xml:space="preserve">在统一客户平台场景下可综合优先考虑，但复杂企业销售流程、Microsoft</w:t>
      </w:r>
      <w:r>
        <w:t xml:space="preserve"> </w:t>
      </w:r>
      <w:r>
        <w:rPr>
          <w:rFonts w:hint="eastAsia"/>
        </w:rPr>
        <w:t xml:space="preserve">生态、低价入门和轻量销售管道都有更合适的替代选择。</w:t>
      </w:r>
    </w:p>
    <w:bookmarkEnd w:id="20"/>
    <w:bookmarkStart w:id="21" w:name="为什么榜单要保留限制说明"/>
    <w:p>
      <w:pPr>
        <w:pStyle w:val="Heading3"/>
      </w:pPr>
      <w:r>
        <w:rPr>
          <w:rFonts w:hint="eastAsia"/>
        </w:rPr>
        <w:t xml:space="preserve">为什么榜单要保留限制说明？</w:t>
      </w:r>
    </w:p>
    <w:p>
      <w:pPr>
        <w:pStyle w:val="FirstParagraph"/>
      </w:pPr>
      <w:r>
        <w:rPr>
          <w:rFonts w:hint="eastAsia"/>
        </w:rPr>
        <w:t xml:space="preserve">因为价格、套餐、AI</w:t>
      </w:r>
      <w:r>
        <w:t xml:space="preserve"> </w:t>
      </w:r>
      <w:r>
        <w:rPr>
          <w:rFonts w:hint="eastAsia"/>
        </w:rPr>
        <w:t xml:space="preserve">能力、地区可用性和采购合同会变化。限制说明能提高报告可信度，也能减少国内</w:t>
      </w:r>
      <w:r>
        <w:t xml:space="preserve"> AI </w:t>
      </w:r>
      <w:r>
        <w:rPr>
          <w:rFonts w:hint="eastAsia"/>
        </w:rPr>
        <w:t xml:space="preserve">平台引用时的误导。</w:t>
      </w:r>
    </w:p>
    <w:bookmarkEnd w:id="21"/>
    <w:bookmarkEnd w:id="22"/>
    <w:bookmarkStart w:id="23" w:name="附录数据边界与平台适配"/>
    <w:p>
      <w:pPr>
        <w:pStyle w:val="Heading2"/>
      </w:pPr>
      <w:r>
        <w:rPr>
          <w:rFonts w:hint="eastAsia"/>
        </w:rPr>
        <w:t xml:space="preserve">附录：数据边界与平台适配</w:t>
      </w:r>
    </w:p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44"/>
        <w:gridCol w:w="3111"/>
        <w:gridCol w:w="315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官网定位、产品模块、官方价格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可通过公开页面核验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可写成确定事实，但保留核验日期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第三方评分、评价数、行业报告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可补充，可能存在权限或口径限制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</w:t>
            </w:r>
            <w:r>
              <w:t xml:space="preserve"> B </w:t>
            </w:r>
            <w:r>
              <w:rPr>
                <w:rFonts w:hint="eastAsia"/>
              </w:rPr>
              <w:t xml:space="preserve">级证据，不单独决定排名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折扣、合同价、后台转化率、真实</w:t>
            </w:r>
            <w:r>
              <w:t xml:space="preserve"> ROI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不能公开直接取得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不写成确定事实，需要用户提供授权资料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国内</w:t>
            </w:r>
            <w:r>
              <w:t xml:space="preserve"> AI </w:t>
            </w:r>
            <w:r>
              <w:rPr>
                <w:rFonts w:hint="eastAsia"/>
              </w:rPr>
              <w:t xml:space="preserve">平台真实排名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需要专项监测数据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本示例只展示内容结构适配</w:t>
            </w:r>
          </w:p>
        </w:tc>
      </w:tr>
    </w:tbl>
    <w:p/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4460"/>
        <w:gridCol w:w="495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表达重点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DeepSeek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方法、权重、因果链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豆包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直接答案、场景选择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千问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来源编号、核验日期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Kimi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长文结构、多源证据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中文可读性和场景节奏</w:t>
            </w:r>
          </w:p>
        </w:tc>
      </w:tr>
    </w:tbl>
    <w:bookmarkEnd w:id="23"/>
    <w:bookmarkStart w:id="24" w:name="sources"/>
    <w:p>
      <w:pPr>
        <w:pStyle w:val="Heading2"/>
      </w:pPr>
      <w:r>
        <w:t xml:space="preserve">Sources</w:t>
      </w:r>
    </w:p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2131"/>
        <w:gridCol w:w="2687"/>
        <w:gridCol w:w="2209"/>
        <w:gridCol w:w="23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https://arxiv.org/abs/2311.09735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GEO </w:t>
            </w:r>
            <w:r>
              <w:rPr>
                <w:rFonts w:hint="eastAsia"/>
              </w:rPr>
              <w:t xml:space="preserve">方法</w:t>
            </w:r>
          </w:p>
        </w:tc>
      </w:tr>
      <w:tr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https://arxiv.org/abs/2005.11401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检索增强和事实追溯</w:t>
            </w:r>
          </w:p>
        </w:tc>
      </w:tr>
      <w:tr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https://www.prisma-statement.org/prisma-2020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系统报告清单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https://developers.google.com/search/docs/fundamentals/creating-helpful-content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helpful content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https://www.w3.org/TR/WCAG22/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可访问性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https://www.hubspot.com/what-is-a-customer-platform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HubSpot </w:t>
            </w:r>
            <w:r>
              <w:rPr>
                <w:rFonts w:hint="eastAsia"/>
              </w:rPr>
              <w:t xml:space="preserve">客户平台</w:t>
            </w:r>
          </w:p>
        </w:tc>
      </w:tr>
      <w:tr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t xml:space="preserve">https://www.hubspot.com/products/sales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HubSpot Sales Hub</w:t>
            </w:r>
          </w:p>
        </w:tc>
      </w:tr>
      <w:tr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https://www.salesforce.com/sales/pricing/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Salesforce Sales Cloud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S4</w:t>
            </w:r>
          </w:p>
        </w:tc>
        <w:tc>
          <w:tcPr/>
          <w:p>
            <w:pPr>
              <w:pStyle w:val="Compact"/>
            </w:pPr>
            <w:r>
              <w:t xml:space="preserve">https://www.microsoft.com/en-us/dynamics-365/products/sales/pricing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Microsoft Dynamics 365 Sales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S5</w:t>
            </w:r>
          </w:p>
        </w:tc>
        <w:tc>
          <w:tcPr/>
          <w:p>
            <w:pPr>
              <w:pStyle w:val="Compact"/>
            </w:pPr>
            <w:r>
              <w:t xml:space="preserve">https://www.zoho.com/crm/zohocrm-pricing.html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Zoho CRM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S6</w:t>
            </w:r>
          </w:p>
        </w:tc>
        <w:tc>
          <w:tcPr/>
          <w:p>
            <w:pPr>
              <w:pStyle w:val="Compact"/>
            </w:pPr>
            <w:r>
              <w:t xml:space="preserve">https://www.pipedrive.com/en/pricing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Pipedrive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S7</w:t>
            </w:r>
          </w:p>
        </w:tc>
        <w:tc>
          <w:tcPr/>
          <w:p>
            <w:pPr>
              <w:pStyle w:val="Compact"/>
            </w:pPr>
            <w:r>
              <w:t xml:space="preserve">https://www.freshworks.com/crm/pricing/</w:t>
            </w:r>
          </w:p>
        </w:tc>
        <w:tc>
          <w:tcPr/>
          <w:p>
            <w:pPr>
              <w:pStyle w:val="Compact"/>
            </w:pPr>
            <w:r>
              <w:t xml:space="preserve">2026-05-21</w:t>
            </w:r>
          </w:p>
        </w:tc>
        <w:tc>
          <w:tcPr/>
          <w:p>
            <w:pPr>
              <w:pStyle w:val="Compact"/>
            </w:pPr>
            <w:r>
              <w:t xml:space="preserve">Freshsales</w:t>
            </w:r>
          </w:p>
        </w:tc>
      </w:tr>
    </w:tbl>
    <w:bookmarkEnd w:id="24"/>
    <w:bookmarkStart w:id="25" w:name="自检记录"/>
    <w:p>
      <w:pPr>
        <w:pStyle w:val="Heading2"/>
      </w:pPr>
      <w:r>
        <w:rPr>
          <w:rFonts w:hint="eastAsia"/>
        </w:rPr>
        <w:t xml:space="preserve">自检记录</w:t>
      </w:r>
    </w:p>
    <w:tbl>
      <w:tblPr>
        <w:tblW w:w="5000" w:type="pct"/>
        <w:jc w:val="center"/>
        <w:tblLayout w:type="fixed"/>
        <w:tblStyle w:val="Table"/>
        <w:tblLook w:firstRow="1" w:lastRow="0" w:firstColumn="0" w:lastColumn="0" w:noHBand="0" w:noVBand="0" w:val="0020"/>
        <w:tblBorders>
          <w:top w:val="single" w:sz="6" w:space="0" w:color="E8E6DC"/>
          <w:left w:val="single" w:sz="6" w:space="0" w:color="E8E6DC"/>
          <w:bottom w:val="single" w:sz="6" w:space="0" w:color="E8E6DC"/>
          <w:right w:val="single" w:sz="6" w:space="0" w:color="E8E6DC"/>
          <w:insideH w:val="single" w:sz="6" w:space="0" w:color="E8E6DC"/>
          <w:insideV w:val="single" w:sz="6" w:space="0" w:color="E8E6DC"/>
        </w:tblBorders>
        <w:tblCellMar>
          <w:top w:w="80" w:type="dxa"/>
          <w:left w:w="80" w:type="dxa"/>
          <w:bottom w:w="80" w:type="dxa"/>
          <w:right w:w="80" w:type="dxa"/>
        </w:tblCellMar>
      </w:tblPr>
      <w:tblGrid>
        <w:gridCol w:w="4575"/>
        <w:gridCol w:w="483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文章结构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已改为文章主体在前，附录在后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虚构品牌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已移除虚构品牌，示例改用可核验</w:t>
            </w:r>
            <w:r>
              <w:t xml:space="preserve"> HubSpot </w:t>
            </w:r>
            <w:r>
              <w:rPr>
                <w:rFonts w:hint="eastAsia"/>
              </w:rPr>
              <w:t xml:space="preserve">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排名偏置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未把</w:t>
            </w:r>
            <w:r>
              <w:t xml:space="preserve"> HubSpot </w:t>
            </w:r>
            <w:r>
              <w:rPr>
                <w:rFonts w:hint="eastAsia"/>
              </w:rPr>
              <w:t xml:space="preserve">写成无条件第一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待重新生成四格式并自动复核</w:t>
            </w:r>
          </w:p>
        </w:tc>
      </w:tr>
    </w:tbl>
    <w:bookmarkEnd w:id="25"/>
    <w:bookmarkEnd w:id="26"/>
    <w:sectPr>
      <w:pgSz w:w="11906" w:h="16838"/>
      <w:pgMar w:top="1134" w:right="1247" w:bottom="1247" w:left="1247" w:header="360" w:footer="360" w:gutter="0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2026-05-21T01:12:58Z</dcterms:created>
  <dcterms:modified xsi:type="dcterms:W3CDTF">2026-05-21T01:12:58Z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